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07B" w:rsidRPr="005D0763" w:rsidRDefault="0077407B" w:rsidP="0077407B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D0763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Informace pro oznamovatele: </w:t>
      </w:r>
    </w:p>
    <w:p w:rsidR="0077407B" w:rsidRPr="005D0763" w:rsidRDefault="0077407B" w:rsidP="0077407B">
      <w:pPr>
        <w:numPr>
          <w:ilvl w:val="0"/>
          <w:numId w:val="4"/>
        </w:numPr>
        <w:spacing w:after="120" w:line="259" w:lineRule="auto"/>
        <w:ind w:left="357" w:hanging="357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D0763">
        <w:rPr>
          <w:rFonts w:asciiTheme="minorHAnsi" w:eastAsia="Calibri" w:hAnsiTheme="minorHAnsi" w:cstheme="minorHAnsi"/>
          <w:b/>
          <w:bCs/>
          <w:u w:val="single"/>
          <w:lang w:eastAsia="en-US"/>
        </w:rPr>
        <w:t>Zákaz poskytnutí údajů třetí osobě</w:t>
      </w:r>
    </w:p>
    <w:p w:rsidR="0077407B" w:rsidRPr="005D0763" w:rsidRDefault="0077407B" w:rsidP="0077407B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Příslušná osoba neposkytne třetí osobě informace, které by mohly zmařit nebo ohrozit účel podávání oznámení. </w:t>
      </w:r>
    </w:p>
    <w:p w:rsidR="0077407B" w:rsidRPr="005D0763" w:rsidRDefault="0077407B" w:rsidP="0077407B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Do evidence údajů o přijatých oznámeních a k dokumentům souvisejícím s oznámením – uchovávaným povinným subjektem má přístup pouze příslušná osoba.    </w:t>
      </w:r>
    </w:p>
    <w:p w:rsidR="0077407B" w:rsidRPr="005D0763" w:rsidRDefault="0077407B" w:rsidP="0077407B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Informace o totožnosti oznamovatele a osoby podle § 4 odst. 2 písm. a) až h) zákona č. 171/2023 Sb., o ochraně oznamovatelů, je možné poskytnout jen s jejich </w:t>
      </w:r>
      <w:r w:rsidRPr="005D0763">
        <w:rPr>
          <w:rFonts w:asciiTheme="minorHAnsi" w:eastAsia="Calibri" w:hAnsiTheme="minorHAnsi" w:cstheme="minorHAnsi"/>
          <w:b/>
          <w:bCs/>
          <w:lang w:eastAsia="en-US"/>
        </w:rPr>
        <w:t>písemným souhlasem</w:t>
      </w:r>
      <w:r w:rsidRPr="005D0763">
        <w:rPr>
          <w:rFonts w:asciiTheme="minorHAnsi" w:eastAsia="Calibri" w:hAnsiTheme="minorHAnsi" w:cstheme="minorHAnsi"/>
          <w:lang w:eastAsia="en-US"/>
        </w:rPr>
        <w:t xml:space="preserve">, ledaže je příslušná osoba povinna tyto informace poskytnout příslušným orgánům veřejné moci podle jiných právních předpisů. </w:t>
      </w:r>
    </w:p>
    <w:p w:rsidR="0077407B" w:rsidRPr="005D0763" w:rsidRDefault="0077407B" w:rsidP="0077407B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Poskytuje-li příslušná osoba informaci o totožnosti oznamovatele orgánu veřejné moci, je povinen o tom předem oznamovatele vyrozumět s důvody, pro které je povinen informaci o totožnosti poskytnout, a umožnit oznamovateli, aby se k poskytnutí informace vyjádřil.</w:t>
      </w:r>
    </w:p>
    <w:p w:rsidR="0077407B" w:rsidRPr="005D0763" w:rsidRDefault="0077407B" w:rsidP="0077407B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Na všechny osoby včetně osob příslušných a oznamovatelů se rovněž vztahuje povinnost oznamovat vyjmenované trestné činy podle § 368 odst. 1 zákona č. 40/2009 Sb., trestní zákoník.</w:t>
      </w:r>
    </w:p>
    <w:p w:rsidR="0077407B" w:rsidRPr="005D0763" w:rsidRDefault="0077407B" w:rsidP="0077407B">
      <w:pPr>
        <w:numPr>
          <w:ilvl w:val="0"/>
          <w:numId w:val="4"/>
        </w:numPr>
        <w:spacing w:after="120" w:line="259" w:lineRule="auto"/>
        <w:ind w:left="357" w:hanging="357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D0763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Posuzování oznámení </w:t>
      </w:r>
    </w:p>
    <w:p w:rsidR="0077407B" w:rsidRPr="005D0763" w:rsidRDefault="0077407B" w:rsidP="008B075D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Příslušná osoba je povinna </w:t>
      </w:r>
      <w:r w:rsidRPr="005D0763">
        <w:rPr>
          <w:rFonts w:asciiTheme="minorHAnsi" w:eastAsia="Calibri" w:hAnsiTheme="minorHAnsi" w:cstheme="minorHAnsi"/>
          <w:b/>
          <w:bCs/>
          <w:lang w:eastAsia="en-US"/>
        </w:rPr>
        <w:t>posoudit důvodnost oznámení</w:t>
      </w:r>
      <w:r w:rsidRPr="005D0763">
        <w:rPr>
          <w:rFonts w:asciiTheme="minorHAnsi" w:eastAsia="Calibri" w:hAnsiTheme="minorHAnsi" w:cstheme="minorHAnsi"/>
          <w:lang w:eastAsia="en-US"/>
        </w:rPr>
        <w:t xml:space="preserve"> a písemně vyrozumět oznamovatele o výsledcích posouzení </w:t>
      </w:r>
      <w:r w:rsidRPr="005D0763">
        <w:rPr>
          <w:rFonts w:asciiTheme="minorHAnsi" w:eastAsia="Calibri" w:hAnsiTheme="minorHAnsi" w:cstheme="minorHAnsi"/>
          <w:b/>
          <w:bCs/>
          <w:lang w:eastAsia="en-US"/>
        </w:rPr>
        <w:t xml:space="preserve">do 30 dnů </w:t>
      </w:r>
      <w:r w:rsidRPr="005D0763">
        <w:rPr>
          <w:rFonts w:asciiTheme="minorHAnsi" w:eastAsia="Calibri" w:hAnsiTheme="minorHAnsi" w:cstheme="minorHAnsi"/>
          <w:lang w:eastAsia="en-US"/>
        </w:rPr>
        <w:t>ode dne přijetí oznámení</w:t>
      </w:r>
      <w:r w:rsidRPr="005D0763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Pr="005D0763">
        <w:rPr>
          <w:rFonts w:asciiTheme="minorHAnsi" w:eastAsia="Calibri" w:hAnsiTheme="minorHAnsi" w:cstheme="minorHAnsi"/>
          <w:lang w:eastAsia="en-US"/>
        </w:rPr>
        <w:t xml:space="preserve"> V případech skutkově nebo právně složitých lze tuto lhůtu prodloužit až dvakrát, vždy o 30 dnů. O prodloužení lhůty a důvodech pro její prodloužení je příslušná osoba povinna oznamovatele písemně vyrozumět před jejím uplynutím.</w:t>
      </w:r>
    </w:p>
    <w:p w:rsidR="0077407B" w:rsidRPr="005D0763" w:rsidRDefault="0077407B" w:rsidP="008B075D">
      <w:r w:rsidRPr="005D0763">
        <w:t>Zjistí-li příslušná osoba při posuzování důvodnosti oznámení, že nejde o oznámení podle tohoto zákona, bez zbytečného odkladu o tom písemně vyrozumí oznamovatele.</w:t>
      </w:r>
    </w:p>
    <w:p w:rsidR="0077407B" w:rsidRPr="005D0763" w:rsidRDefault="0077407B" w:rsidP="008B075D">
      <w:pPr>
        <w:rPr>
          <w:rFonts w:eastAsia="Calibri"/>
          <w:lang w:eastAsia="en-US"/>
        </w:rPr>
      </w:pPr>
      <w:r w:rsidRPr="005D0763">
        <w:rPr>
          <w:rFonts w:eastAsia="Calibri"/>
          <w:lang w:eastAsia="en-US"/>
        </w:rPr>
        <w:t>Je-li oznámení vyhodnoceno jako důvodné, příslušná osoba povinnému subjektu navrhne opatření k předejití nebo nápravě protiprávního stavu. Je-li oznámení podáno u příslušné osoby povinného subjektu, pro který oznamovatel nevykonává práci nebo jinou obdobnou činnost, navrhuje příslušná osoba nápravná opatření osobě, pro kterou oznamovatel vykonává práci nebo jinou obdobnou činnost, nevylučuje-li to povaha věci. Nepřijme-li povinný subjekt opatření navržené příslušnou osobou, přijme k předejití nebo nápravě protiprávního stavu jiné vhodné opatření; to neplatí, jde-li o opatření navržené jiné osobě než povinnému subjektu, který tuto příslušnou osobu určil.</w:t>
      </w:r>
    </w:p>
    <w:p w:rsidR="0077407B" w:rsidRPr="005D0763" w:rsidRDefault="0077407B" w:rsidP="0077407B">
      <w:pPr>
        <w:numPr>
          <w:ilvl w:val="0"/>
          <w:numId w:val="4"/>
        </w:numPr>
        <w:spacing w:after="120" w:line="259" w:lineRule="auto"/>
        <w:ind w:left="357" w:hanging="357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D0763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Jak postupovat v případě odvetných opatření </w:t>
      </w:r>
    </w:p>
    <w:p w:rsidR="0077407B" w:rsidRPr="005D0763" w:rsidRDefault="0077407B" w:rsidP="008B075D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Za hlavní ochranné opatření lze považovat zákaz uplatnění odvetného opatření vůči oznamovateli a dalším chráněným fyzickým i právnickým osobám (např. kolegům, pomocníkům oznamovatele, osobám oznamovateli blízkým, právnickým osobám, jejichž společníkem je oznamovatel atd.) a zákaz umožnit uplatnění odvetného opatření, který dopadá na povinné subjekty.</w:t>
      </w:r>
    </w:p>
    <w:p w:rsidR="0077407B" w:rsidRPr="005D0763" w:rsidRDefault="0077407B" w:rsidP="008B075D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Odvetným opatřením se rozumí „jednání nebo jeho opomenutí v souvislosti s prací nebo jinou obdobnou činností oznamovatele, které bylo vyvoláno učiněním oznámení a které oznamovateli nebo osobě podle odstavce 2 písm. a) až h) může způsobit újmu“. </w:t>
      </w:r>
    </w:p>
    <w:p w:rsidR="0077407B" w:rsidRPr="005D0763" w:rsidRDefault="0077407B" w:rsidP="008B075D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GoBack"/>
      <w:bookmarkEnd w:id="0"/>
      <w:r w:rsidRPr="005D0763">
        <w:rPr>
          <w:rFonts w:asciiTheme="minorHAnsi" w:eastAsia="Calibri" w:hAnsiTheme="minorHAnsi" w:cstheme="minorHAnsi"/>
          <w:lang w:eastAsia="en-US"/>
        </w:rPr>
        <w:t>Takovým odvetným opatřením může být dle zákona o ochraně oznamovatelů zejména: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lastRenderedPageBreak/>
        <w:t>rozvázání pracovního poměru nebo neprodloužení pracovního poměru na dobu určitou,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zproštění výkonu služby, zařazení mimo výkon služby nebo skončení služebního poměru,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zrušení právního vztahu založeného dohodou o provedení práce nebo dohodou o pracovní činnosti,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odvolání z místa vedoucího zaměstnance nebo ze služebního místa představeného,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 uložení kárného opatření nebo kázeňského trestu,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snížení mzdy, platu nebo odměny nebo nepřiznání osobního příplatku,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přeložení nebo převedení na jinou práci nebo na jiné služební místo,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služební hodnocení nebo pracovní posudek,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neumožnění odborného rozvoje,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změna pracovní nebo služební doby,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vyžadování lékařského posudku nebo </w:t>
      </w:r>
      <w:proofErr w:type="spellStart"/>
      <w:r w:rsidRPr="005D0763">
        <w:rPr>
          <w:rFonts w:asciiTheme="minorHAnsi" w:eastAsia="Calibri" w:hAnsiTheme="minorHAnsi" w:cstheme="minorHAnsi"/>
          <w:lang w:eastAsia="en-US"/>
        </w:rPr>
        <w:t>pracovnělékařské</w:t>
      </w:r>
      <w:proofErr w:type="spellEnd"/>
      <w:r w:rsidRPr="005D0763">
        <w:rPr>
          <w:rFonts w:asciiTheme="minorHAnsi" w:eastAsia="Calibri" w:hAnsiTheme="minorHAnsi" w:cstheme="minorHAnsi"/>
          <w:lang w:eastAsia="en-US"/>
        </w:rPr>
        <w:t xml:space="preserve"> prohlídky,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výpověď nebo odstoupení od smlouvy, nebo</w:t>
      </w:r>
    </w:p>
    <w:p w:rsidR="0077407B" w:rsidRPr="005D0763" w:rsidRDefault="0077407B" w:rsidP="0077407B">
      <w:pPr>
        <w:numPr>
          <w:ilvl w:val="0"/>
          <w:numId w:val="5"/>
        </w:numPr>
        <w:shd w:val="clear" w:color="auto" w:fill="FFFFFF"/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zásah do práva na ochranu osobnosti.</w:t>
      </w:r>
    </w:p>
    <w:p w:rsidR="0077407B" w:rsidRPr="005D0763" w:rsidRDefault="0077407B" w:rsidP="0077407B">
      <w:pPr>
        <w:spacing w:after="120" w:line="259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Ochrany před odvetnými opatřeními se nelze vzdát ani je nelze omezit žádnou dohodou či podmínkami pracovního poměru či obdobného pracovního vztahu.</w:t>
      </w:r>
    </w:p>
    <w:p w:rsidR="0077407B" w:rsidRPr="005D0763" w:rsidRDefault="0077407B" w:rsidP="0077407B">
      <w:pPr>
        <w:spacing w:after="120" w:line="259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Oznamovateli náleží ochrana podle zákona č. 171/2023 Sb., o ochraně oznamovatelů, pokud:</w:t>
      </w:r>
    </w:p>
    <w:p w:rsidR="0077407B" w:rsidRPr="005D0763" w:rsidRDefault="0077407B" w:rsidP="0077407B">
      <w:pPr>
        <w:numPr>
          <w:ilvl w:val="0"/>
          <w:numId w:val="5"/>
        </w:num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nepodal vědomě nepravdivé oznámení a</w:t>
      </w:r>
    </w:p>
    <w:p w:rsidR="0077407B" w:rsidRPr="005D0763" w:rsidRDefault="0077407B" w:rsidP="0077407B">
      <w:pPr>
        <w:numPr>
          <w:ilvl w:val="0"/>
          <w:numId w:val="5"/>
        </w:num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podal oznámení v souladu se zákonem buď prostřednictvím vnitřního oznamovacího systému, externího oznamovacího systému Ministerstva spravedlnosti, nebo učinil uveřejnění, případně oznámení podali přímo jinému příslušnému orgánu veřejné moci.</w:t>
      </w:r>
    </w:p>
    <w:p w:rsidR="0077407B" w:rsidRPr="005D0763" w:rsidRDefault="0077407B" w:rsidP="0077407B">
      <w:pPr>
        <w:spacing w:after="120" w:line="259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Ochrana náleží také dalším osobám podle § 4 odst. 2 písm. a) až h) zákona.</w:t>
      </w:r>
    </w:p>
    <w:p w:rsidR="0077407B" w:rsidRPr="005D0763" w:rsidRDefault="0077407B" w:rsidP="0077407B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 xml:space="preserve">V případě porušení zákazu uplatnění odvetných opatření se oznamovatel bude moci vůči původci odvetného opatření domáhat ochrany před soudem. V rámci občanského soudního řízení disponují oznamovatelé v postavení žalobce následujícími procesními výhodami: obráceným důkazním břemenem (žalovaný musí prokazovat, že tvrzené odvetné opatření bylo motivováno jinými důvody než podáním oznámení) a možnost navrhnout nařízení předběžného opatření bez povinnosti skládat jistotu. Osoby ve služebním poměru mohou odvolacímu orgánu navrhnout odkladný účinek rozhodnutí, které má znaky odvetného opatření, nebo pozastavení jeho vykonatelnosti. </w:t>
      </w:r>
    </w:p>
    <w:p w:rsidR="0077407B" w:rsidRPr="005D0763" w:rsidRDefault="0077407B" w:rsidP="0077407B">
      <w:pPr>
        <w:numPr>
          <w:ilvl w:val="0"/>
          <w:numId w:val="4"/>
        </w:numPr>
        <w:spacing w:after="120" w:line="259" w:lineRule="auto"/>
        <w:ind w:left="357" w:hanging="357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Vědomě nepravdivé oznámení </w:t>
      </w:r>
    </w:p>
    <w:p w:rsidR="0077407B" w:rsidRPr="005D0763" w:rsidRDefault="0077407B" w:rsidP="0077407B">
      <w:pPr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D0763">
        <w:rPr>
          <w:rFonts w:asciiTheme="minorHAnsi" w:eastAsia="Calibri" w:hAnsiTheme="minorHAnsi" w:cstheme="minorHAnsi"/>
          <w:lang w:eastAsia="en-US"/>
        </w:rPr>
        <w:t>Fyzická osoba se dopustí přestupku tím, že podá vědomě nepravdivé oznámení. Za přestupek podle odstavce 1 lze uložit pokutu do 50 000 Kč. Oznamovatel může být za podání nepravdivého oznámení rovněž odpovědný podle jiných právních předpisů.</w:t>
      </w:r>
    </w:p>
    <w:p w:rsidR="0077407B" w:rsidRPr="005D0763" w:rsidRDefault="0077407B" w:rsidP="0077407B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</w:p>
    <w:p w:rsidR="00735F29" w:rsidRDefault="00735F29"/>
    <w:sectPr w:rsidR="0073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8B8"/>
    <w:multiLevelType w:val="hybridMultilevel"/>
    <w:tmpl w:val="E106351C"/>
    <w:lvl w:ilvl="0" w:tplc="2EA492A2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8F71270"/>
    <w:multiLevelType w:val="hybridMultilevel"/>
    <w:tmpl w:val="78B4FD4E"/>
    <w:lvl w:ilvl="0" w:tplc="677A1C34">
      <w:start w:val="1"/>
      <w:numFmt w:val="bullet"/>
      <w:pStyle w:val="Odstavecseseznamem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3F1193"/>
    <w:multiLevelType w:val="hybridMultilevel"/>
    <w:tmpl w:val="1B90E570"/>
    <w:lvl w:ilvl="0" w:tplc="8FF05344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D04FB"/>
    <w:multiLevelType w:val="hybridMultilevel"/>
    <w:tmpl w:val="7A0EE39A"/>
    <w:lvl w:ilvl="0" w:tplc="A8EAAB06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3F71E5C"/>
    <w:multiLevelType w:val="hybridMultilevel"/>
    <w:tmpl w:val="BD086172"/>
    <w:lvl w:ilvl="0" w:tplc="B86A4F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05E9F"/>
    <w:multiLevelType w:val="multilevel"/>
    <w:tmpl w:val="9904C782"/>
    <w:lvl w:ilvl="0">
      <w:start w:val="1"/>
      <w:numFmt w:val="decimal"/>
      <w:pStyle w:val="Styl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7B"/>
    <w:rsid w:val="00050B38"/>
    <w:rsid w:val="00113609"/>
    <w:rsid w:val="00735F29"/>
    <w:rsid w:val="0077407B"/>
    <w:rsid w:val="008B075D"/>
    <w:rsid w:val="00C2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A935"/>
  <w15:chartTrackingRefBased/>
  <w15:docId w15:val="{4728BFBD-7936-45F0-AFCF-84B069EF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27" w:hanging="1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75D"/>
    <w:pPr>
      <w:spacing w:after="200" w:line="276" w:lineRule="auto"/>
      <w:ind w:left="357" w:firstLine="0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050B38"/>
    <w:pPr>
      <w:numPr>
        <w:numId w:val="1"/>
      </w:numPr>
      <w:contextualSpacing/>
    </w:pPr>
    <w:rPr>
      <w:rFonts w:asciiTheme="minorHAnsi" w:eastAsia="Lucida Sans Unicode" w:hAnsiTheme="minorHAnsi" w:cstheme="minorHAnsi"/>
      <w:sz w:val="20"/>
      <w:szCs w:val="20"/>
    </w:rPr>
  </w:style>
  <w:style w:type="paragraph" w:customStyle="1" w:styleId="Stylvp">
    <w:name w:val="Styl_švp"/>
    <w:basedOn w:val="Odstavecseseznamem"/>
    <w:link w:val="StylvpChar"/>
    <w:qFormat/>
    <w:rsid w:val="00113609"/>
    <w:pPr>
      <w:numPr>
        <w:numId w:val="3"/>
      </w:numPr>
      <w:ind w:left="227" w:hanging="170"/>
    </w:pPr>
  </w:style>
  <w:style w:type="character" w:customStyle="1" w:styleId="StylvpChar">
    <w:name w:val="Styl_švp Char"/>
    <w:basedOn w:val="Standardnpsmoodstavce"/>
    <w:link w:val="Stylvp"/>
    <w:rsid w:val="00113609"/>
    <w:rPr>
      <w:rFonts w:eastAsia="Lucida Sans Unicode" w:cstheme="minorHAns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Gymnázium Staré Město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Vejrostova</dc:creator>
  <cp:keywords/>
  <dc:description/>
  <cp:lastModifiedBy>Jana Vejrostova</cp:lastModifiedBy>
  <cp:revision>3</cp:revision>
  <dcterms:created xsi:type="dcterms:W3CDTF">2023-11-05T18:51:00Z</dcterms:created>
  <dcterms:modified xsi:type="dcterms:W3CDTF">2023-11-06T11:40:00Z</dcterms:modified>
</cp:coreProperties>
</file>